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pBdr>
          <w:top w:val="nil"/>
          <w:left w:val="nil"/>
          <w:bottom w:val="nil"/>
          <w:right w:val="nil"/>
          <w:between w:val="nil"/>
          <w:bar w:val="nil"/>
        </w:pBdr>
        <w:spacing w:line="360" w:lineRule="atLeast"/>
        <w:jc w:val="center"/>
        <w:rPr>
          <w:rFonts w:eastAsia="Arial Unicode MS" w:cs="Arial Unicode MS"/>
          <w:color w:val="000000"/>
          <w:sz w:val="27"/>
          <w:szCs w:val="27"/>
          <w:bdr w:val="nil"/>
          <w:lang w:eastAsia="lt-LT"/>
        </w:rPr>
      </w:pPr>
      <w:r>
        <w:rPr>
          <w:rFonts w:eastAsia="Arial Unicode MS" w:cs="Arial Unicode MS"/>
          <w:b/>
          <w:bCs/>
          <w:color w:val="000000"/>
          <w:sz w:val="22"/>
          <w:szCs w:val="22"/>
          <w:bdr w:val="nil"/>
          <w:lang w:eastAsia="lt-LT"/>
        </w:rPr>
        <w:t>LIETUVOS RESPUBLIKOS SEIMO</w:t>
      </w:r>
    </w:p>
    <w:p>
      <w:pPr>
        <w:pBdr>
          <w:top w:val="nil"/>
          <w:left w:val="nil"/>
          <w:bottom w:val="nil"/>
          <w:right w:val="nil"/>
          <w:between w:val="nil"/>
          <w:bar w:val="nil"/>
        </w:pBdr>
        <w:ind w:firstLine="33"/>
        <w:rPr>
          <w:rFonts w:eastAsia="Arial Unicode MS" w:cs="Arial Unicode MS"/>
          <w:color w:val="000000"/>
          <w:sz w:val="27"/>
          <w:szCs w:val="27"/>
          <w:bdr w:val="nil"/>
          <w:lang w:eastAsia="lt-LT"/>
        </w:rPr>
      </w:pPr>
    </w:p>
    <w:p>
      <w:pPr>
        <w:pBdr>
          <w:top w:val="nil"/>
          <w:left w:val="nil"/>
          <w:bottom w:val="nil"/>
          <w:right w:val="nil"/>
          <w:between w:val="nil"/>
          <w:bar w:val="nil"/>
        </w:pBdr>
        <w:spacing w:line="360" w:lineRule="atLeast"/>
        <w:jc w:val="center"/>
        <w:rPr>
          <w:rFonts w:eastAsia="Arial Unicode MS" w:cs="Arial Unicode MS"/>
          <w:color w:val="000000"/>
          <w:sz w:val="27"/>
          <w:szCs w:val="27"/>
          <w:bdr w:val="nil"/>
          <w:lang w:eastAsia="lt-LT"/>
        </w:rPr>
      </w:pPr>
      <w:r>
        <w:rPr>
          <w:rFonts w:eastAsia="Arial Unicode MS" w:cs="Arial Unicode MS"/>
          <w:b/>
          <w:bCs/>
          <w:color w:val="000000"/>
          <w:sz w:val="22"/>
          <w:szCs w:val="22"/>
          <w:bdr w:val="nil"/>
          <w:lang w:eastAsia="lt-LT"/>
        </w:rPr>
        <w:t>REZOLIUCIJA</w:t>
      </w:r>
    </w:p>
    <w:p>
      <w:pPr>
        <w:pBdr>
          <w:top w:val="nil"/>
          <w:left w:val="nil"/>
          <w:bottom w:val="nil"/>
          <w:right w:val="nil"/>
          <w:between w:val="nil"/>
          <w:bar w:val="nil"/>
        </w:pBdr>
        <w:spacing w:line="360" w:lineRule="atLeast"/>
        <w:jc w:val="center"/>
        <w:rPr>
          <w:rFonts w:eastAsia="Arial Unicode MS" w:cs="Arial Unicode MS"/>
          <w:sz w:val="27"/>
          <w:szCs w:val="27"/>
          <w:bdr w:val="nil"/>
          <w:lang w:eastAsia="lt-LT"/>
        </w:rPr>
      </w:pPr>
      <w:r>
        <w:rPr>
          <w:rFonts w:eastAsia="Arial Unicode MS" w:cs="Arial Unicode MS"/>
          <w:b/>
          <w:bCs/>
          <w:color w:val="000000"/>
          <w:sz w:val="22"/>
          <w:szCs w:val="22"/>
          <w:bdr w:val="nil"/>
          <w:lang w:eastAsia="lt-LT"/>
        </w:rPr>
        <w:t xml:space="preserve">DĖL RUSIJOS FEDERACIJOS VEIKSMŲ UKRAINOJE PRIPAŽINIMO GENOCIDU </w:t>
      </w:r>
      <w:r>
        <w:rPr>
          <w:rFonts w:eastAsia="Arial Unicode MS" w:cs="Arial Unicode MS"/>
          <w:b/>
          <w:bCs/>
          <w:sz w:val="22"/>
          <w:szCs w:val="22"/>
          <w:bdr w:val="nil"/>
          <w:lang w:eastAsia="lt-LT"/>
        </w:rPr>
        <w:t>IR SPECIALIOJO TARPTAUTINIO BAUDŽIAMOJO TRIBUNOLO ĮSTEIGIMO RUSIJOS AGRESIJOS NUSIKALTIMUI IŠTIRTI</w:t>
      </w:r>
    </w:p>
    <w:p>
      <w:pPr>
        <w:pBdr>
          <w:top w:val="nil"/>
          <w:left w:val="nil"/>
          <w:bottom w:val="nil"/>
          <w:right w:val="nil"/>
          <w:between w:val="nil"/>
          <w:bar w:val="nil"/>
        </w:pBdr>
        <w:spacing w:line="360" w:lineRule="atLeast"/>
        <w:ind w:firstLine="766"/>
        <w:jc w:val="center"/>
        <w:rPr>
          <w:rFonts w:eastAsia="Arial Unicode MS" w:cs="Arial Unicode MS"/>
          <w:color w:val="000000"/>
          <w:sz w:val="27"/>
          <w:szCs w:val="27"/>
          <w:bdr w:val="nil"/>
          <w:lang w:eastAsia="lt-LT"/>
        </w:rPr>
      </w:pPr>
    </w:p>
    <w:p>
      <w:pPr>
        <w:pBdr>
          <w:top w:val="nil"/>
          <w:left w:val="nil"/>
          <w:bottom w:val="nil"/>
          <w:right w:val="nil"/>
          <w:between w:val="nil"/>
          <w:bar w:val="nil"/>
        </w:pBdr>
        <w:ind w:firstLine="33"/>
        <w:rPr>
          <w:rFonts w:eastAsia="Arial Unicode MS" w:cs="Arial Unicode MS"/>
          <w:color w:val="000000"/>
          <w:sz w:val="27"/>
          <w:szCs w:val="27"/>
          <w:bdr w:val="nil"/>
          <w:lang w:eastAsia="lt-LT"/>
        </w:rPr>
      </w:pPr>
    </w:p>
    <w:p>
      <w:pPr>
        <w:pBdr>
          <w:top w:val="nil"/>
          <w:left w:val="nil"/>
          <w:bottom w:val="nil"/>
          <w:right w:val="nil"/>
          <w:between w:val="nil"/>
          <w:bar w:val="nil"/>
        </w:pBdr>
        <w:jc w:val="center"/>
        <w:rPr>
          <w:rFonts w:eastAsia="Arial Unicode MS" w:cs="Arial Unicode MS"/>
          <w:color w:val="000000"/>
          <w:sz w:val="27"/>
          <w:szCs w:val="27"/>
          <w:bdr w:val="nil"/>
          <w:lang w:eastAsia="lt-LT"/>
        </w:rPr>
      </w:pPr>
      <w:r>
        <w:rPr>
          <w:rFonts w:eastAsia="Arial Unicode MS" w:cs="Arial Unicode MS"/>
          <w:color w:val="000000"/>
          <w:sz w:val="22"/>
          <w:szCs w:val="22"/>
          <w:bdr w:val="nil"/>
          <w:lang w:eastAsia="lt-LT"/>
        </w:rPr>
        <w:t xml:space="preserve">2022 m. gegužės 9 d. Nr. </w:t>
      </w:r>
    </w:p>
    <w:p>
      <w:pPr>
        <w:pBdr>
          <w:top w:val="nil"/>
          <w:left w:val="nil"/>
          <w:bottom w:val="nil"/>
          <w:right w:val="nil"/>
          <w:between w:val="nil"/>
          <w:bar w:val="nil"/>
        </w:pBdr>
        <w:ind w:firstLine="33"/>
        <w:rPr>
          <w:rFonts w:eastAsia="Arial Unicode MS" w:cs="Arial Unicode MS"/>
          <w:color w:val="000000"/>
          <w:sz w:val="27"/>
          <w:szCs w:val="27"/>
          <w:bdr w:val="nil"/>
          <w:lang w:eastAsia="lt-LT"/>
        </w:rPr>
      </w:pPr>
    </w:p>
    <w:p>
      <w:pPr>
        <w:pBdr>
          <w:top w:val="nil"/>
          <w:left w:val="nil"/>
          <w:bottom w:val="nil"/>
          <w:right w:val="nil"/>
          <w:between w:val="nil"/>
          <w:bar w:val="nil"/>
        </w:pBdr>
        <w:jc w:val="center"/>
        <w:rPr>
          <w:rFonts w:eastAsia="Arial Unicode MS" w:cs="Arial Unicode MS"/>
          <w:color w:val="000000"/>
          <w:sz w:val="22"/>
          <w:szCs w:val="22"/>
          <w:bdr w:val="nil"/>
          <w:lang w:eastAsia="lt-LT"/>
        </w:rPr>
      </w:pPr>
      <w:r>
        <w:rPr>
          <w:rFonts w:eastAsia="Arial Unicode MS" w:cs="Arial Unicode MS"/>
          <w:color w:val="000000"/>
          <w:sz w:val="22"/>
          <w:szCs w:val="22"/>
          <w:bdr w:val="nil"/>
          <w:lang w:eastAsia="lt-LT"/>
        </w:rPr>
        <w:t>Vilnius</w:t>
      </w:r>
    </w:p>
    <w:p>
      <w:pPr>
        <w:pBdr>
          <w:top w:val="nil"/>
          <w:left w:val="nil"/>
          <w:bottom w:val="nil"/>
          <w:right w:val="nil"/>
          <w:between w:val="nil"/>
          <w:bar w:val="nil"/>
        </w:pBdr>
        <w:jc w:val="center"/>
        <w:rPr>
          <w:rFonts w:eastAsia="Arial Unicode MS" w:cs="Arial Unicode MS"/>
          <w:color w:val="000000"/>
          <w:sz w:val="22"/>
          <w:szCs w:val="22"/>
          <w:bdr w:val="nil"/>
          <w:lang w:eastAsia="lt-LT"/>
        </w:rPr>
      </w:pPr>
    </w:p>
    <w:p>
      <w:pPr>
        <w:pBdr>
          <w:top w:val="nil"/>
          <w:left w:val="nil"/>
          <w:bottom w:val="nil"/>
          <w:right w:val="nil"/>
          <w:between w:val="nil"/>
          <w:bar w:val="nil"/>
        </w:pBdr>
        <w:jc w:val="center"/>
        <w:rPr>
          <w:rFonts w:eastAsia="Arial Unicode MS" w:cs="Arial Unicode MS"/>
          <w:color w:val="000000"/>
          <w:sz w:val="27"/>
          <w:szCs w:val="27"/>
          <w:bdr w:val="nil"/>
          <w:lang w:eastAsia="lt-LT"/>
        </w:rPr>
      </w:pPr>
    </w:p>
    <w:p>
      <w:pPr>
        <w:pBdr>
          <w:top w:val="nil"/>
          <w:left w:val="nil"/>
          <w:bottom w:val="nil"/>
          <w:right w:val="nil"/>
          <w:between w:val="nil"/>
          <w:bar w:val="nil"/>
        </w:pBdr>
        <w:ind w:firstLine="33"/>
        <w:rPr>
          <w:rFonts w:eastAsia="Arial Unicode MS" w:cs="Arial Unicode MS"/>
          <w:color w:val="000000"/>
          <w:sz w:val="27"/>
          <w:szCs w:val="27"/>
          <w:bdr w:val="nil"/>
          <w:lang w:eastAsia="lt-LT"/>
        </w:rPr>
      </w:pPr>
    </w:p>
    <w:p>
      <w:pPr>
        <w:pBdr>
          <w:top w:val="nil"/>
          <w:left w:val="nil"/>
          <w:bottom w:val="nil"/>
          <w:right w:val="nil"/>
          <w:between w:val="nil"/>
          <w:bar w:val="nil"/>
        </w:pBdr>
        <w:spacing w:line="360" w:lineRule="auto"/>
        <w:ind w:firstLine="720"/>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Lietuvos Respublikos Seimas,</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i/>
          <w:iCs/>
          <w:color w:val="000000"/>
          <w:szCs w:val="24"/>
          <w:bdr w:val="nil"/>
          <w:shd w:val="clear" w:color="auto" w:fill="FFFFFF"/>
          <w:lang w:eastAsia="lt-LT"/>
        </w:rPr>
        <w:t>remdamasis</w:t>
      </w:r>
      <w:r>
        <w:rPr>
          <w:rFonts w:eastAsia="Arial Unicode MS" w:cs="Arial Unicode MS"/>
          <w:color w:val="000000"/>
          <w:szCs w:val="24"/>
          <w:bdr w:val="nil"/>
          <w:shd w:val="clear" w:color="auto" w:fill="FFFFFF"/>
          <w:lang w:eastAsia="lt-LT"/>
        </w:rPr>
        <w:t xml:space="preserve"> Lietuvos Respublikos Seimo 2022 m. vasario 24 d. rezoliucijos Nr. XIV-930 „Dėl Rusijos ir Baltarusijos agresijos prieš Ukrainą“ bei 2022 m. balandžio 12 d. rezoliucijos Nr. XIVP-1494 „Dėl Rusijos Federacijos vykdomos agresijos ir karo nusikaltimų Ukrainoje pasmerkimo“, bei Ukrainos Aukščiausiosios Rados 2022 m. balandžio 14 d. pareiškimo „Dėl Rusijos Federacijos vykdomo genocido Ukrainoje“ </w:t>
      </w:r>
      <w:r>
        <w:rPr>
          <w:rFonts w:eastAsia="Arial Unicode MS" w:cs="Arial Unicode MS"/>
          <w:color w:val="000000"/>
          <w:spacing w:val="3"/>
          <w:szCs w:val="24"/>
          <w:bdr w:val="nil"/>
          <w:lang w:eastAsia="lt-LT"/>
        </w:rPr>
        <w:t>nuostatomis;</w:t>
      </w:r>
    </w:p>
    <w:p>
      <w:pPr>
        <w:pBdr>
          <w:top w:val="nil"/>
          <w:left w:val="nil"/>
          <w:bottom w:val="nil"/>
          <w:right w:val="nil"/>
          <w:between w:val="nil"/>
          <w:bar w:val="nil"/>
        </w:pBdr>
        <w:spacing w:line="360" w:lineRule="auto"/>
        <w:ind w:firstLine="720"/>
        <w:jc w:val="both"/>
        <w:rPr>
          <w:rFonts w:ascii="Calibri" w:eastAsia="Arial Unicode MS" w:hAnsi="Calibri" w:cs="Calibri"/>
          <w:color w:val="1F497D"/>
          <w:sz w:val="22"/>
          <w:szCs w:val="22"/>
          <w:bdr w:val="nil"/>
        </w:rPr>
      </w:pPr>
      <w:r>
        <w:rPr>
          <w:rFonts w:eastAsia="Arial Unicode MS"/>
          <w:i/>
          <w:iCs/>
          <w:spacing w:val="3"/>
          <w:szCs w:val="24"/>
          <w:bdr w:val="nil"/>
        </w:rPr>
        <w:t xml:space="preserve">primindamas </w:t>
      </w:r>
      <w:r>
        <w:rPr>
          <w:rFonts w:eastAsia="Arial Unicode MS"/>
          <w:spacing w:val="3"/>
          <w:szCs w:val="24"/>
          <w:bdr w:val="nil"/>
        </w:rPr>
        <w:t>Lietuvos Respublikos Seimo 2005 m. lapkričio 5 d. pareiškimą</w:t>
      </w:r>
      <w:r>
        <w:rPr>
          <w:rFonts w:eastAsia="Arial Unicode MS"/>
          <w:i/>
          <w:iCs/>
          <w:spacing w:val="3"/>
          <w:szCs w:val="24"/>
          <w:bdr w:val="nil"/>
        </w:rPr>
        <w:t xml:space="preserve"> </w:t>
      </w:r>
      <w:r>
        <w:rPr>
          <w:rFonts w:eastAsia="Arial Unicode MS"/>
          <w:spacing w:val="3"/>
          <w:szCs w:val="24"/>
          <w:bdr w:val="nil"/>
        </w:rPr>
        <w:t xml:space="preserve">„Dėl  politinių represijų ir badmečio aukų Ukrainoje 1932–1933 m. paminėjimo“, kuriuo pripažįstama, jog 1932–1933 m. Stalino totalitarinio komunizmo režimas vykdė sąmoningą, kruopščiai suplanuotą ukrainiečių tautos genocidą; </w:t>
      </w:r>
    </w:p>
    <w:p>
      <w:pPr>
        <w:pBdr>
          <w:top w:val="nil"/>
          <w:left w:val="nil"/>
          <w:bottom w:val="nil"/>
          <w:right w:val="nil"/>
          <w:between w:val="nil"/>
          <w:bar w:val="nil"/>
        </w:pBdr>
        <w:spacing w:line="360" w:lineRule="auto"/>
        <w:ind w:firstLine="720"/>
        <w:jc w:val="both"/>
        <w:rPr>
          <w:rFonts w:eastAsia="Arial Unicode MS" w:cs="Arial Unicode MS"/>
          <w:szCs w:val="24"/>
          <w:bdr w:val="nil"/>
          <w:shd w:val="clear" w:color="auto" w:fill="FFFFFF"/>
          <w:lang w:eastAsia="lt-LT"/>
        </w:rPr>
      </w:pPr>
      <w:r>
        <w:rPr>
          <w:rFonts w:eastAsia="Arial Unicode MS" w:cs="Arial Unicode MS"/>
          <w:i/>
          <w:iCs/>
          <w:color w:val="000000"/>
          <w:szCs w:val="24"/>
          <w:bdr w:val="nil"/>
          <w:shd w:val="clear" w:color="auto" w:fill="FFFFFF"/>
          <w:lang w:eastAsia="lt-LT"/>
        </w:rPr>
        <w:t xml:space="preserve">sveikindamas </w:t>
      </w:r>
      <w:r>
        <w:rPr>
          <w:rFonts w:eastAsia="Arial Unicode MS" w:cs="Arial Unicode MS"/>
          <w:color w:val="000000"/>
          <w:szCs w:val="24"/>
          <w:bdr w:val="nil"/>
          <w:shd w:val="clear" w:color="auto" w:fill="FFFFFF"/>
          <w:lang w:eastAsia="lt-LT"/>
        </w:rPr>
        <w:t xml:space="preserve">Europos Tarybos Parlamentinės Asamblėjos 2022 m. balandžio 28 d. </w:t>
      </w:r>
      <w:r>
        <w:rPr>
          <w:rFonts w:eastAsia="Arial Unicode MS" w:cs="Arial Unicode MS"/>
          <w:szCs w:val="24"/>
          <w:bdr w:val="nil"/>
          <w:shd w:val="clear" w:color="auto" w:fill="FFFFFF"/>
          <w:lang w:eastAsia="lt-LT"/>
        </w:rPr>
        <w:t xml:space="preserve">rezoliuciją </w:t>
      </w:r>
      <w:r>
        <w:rPr>
          <w:rFonts w:eastAsia="Arial Unicode MS" w:cs="Arial Unicode MS"/>
          <w:spacing w:val="3"/>
          <w:szCs w:val="24"/>
          <w:bdr w:val="nil"/>
          <w:lang w:eastAsia="lt-LT"/>
        </w:rPr>
        <w:t>„</w:t>
      </w:r>
      <w:r>
        <w:rPr>
          <w:rFonts w:eastAsia="Arial Unicode MS" w:cs="Arial Unicode MS"/>
          <w:szCs w:val="24"/>
          <w:bdr w:val="nil"/>
          <w:shd w:val="clear" w:color="auto" w:fill="FFFFFF"/>
          <w:lang w:eastAsia="lt-LT"/>
        </w:rPr>
        <w:t>Rusijos Federacijos agresija prieš Ukrainą: atsakomybės už rimtus</w:t>
      </w:r>
      <w:r>
        <w:rPr>
          <w:rFonts w:eastAsia="Arial Unicode MS" w:cs="Arial Unicode MS"/>
          <w:color w:val="FF0000"/>
          <w:szCs w:val="24"/>
          <w:bdr w:val="nil"/>
          <w:shd w:val="clear" w:color="auto" w:fill="FFFFFF"/>
          <w:lang w:eastAsia="lt-LT"/>
        </w:rPr>
        <w:t xml:space="preserve"> </w:t>
      </w:r>
      <w:r>
        <w:rPr>
          <w:rFonts w:eastAsia="Arial Unicode MS" w:cs="Arial Unicode MS"/>
          <w:szCs w:val="24"/>
          <w:bdr w:val="nil"/>
          <w:shd w:val="clear" w:color="auto" w:fill="FFFFFF"/>
          <w:lang w:eastAsia="lt-LT"/>
        </w:rPr>
        <w:t>tarptautinės humanitarinės teisės pažeidimus ir kitus tarptautinius nusikaltimus užtikrinimas</w:t>
      </w:r>
      <w:r>
        <w:rPr>
          <w:rFonts w:eastAsia="Arial Unicode MS" w:cs="Arial Unicode MS"/>
          <w:spacing w:val="3"/>
          <w:szCs w:val="24"/>
          <w:bdr w:val="nil"/>
          <w:lang w:eastAsia="lt-LT"/>
        </w:rPr>
        <w:t>“</w:t>
      </w:r>
      <w:r>
        <w:rPr>
          <w:rFonts w:eastAsia="Arial Unicode MS" w:cs="Arial Unicode MS"/>
          <w:szCs w:val="24"/>
          <w:bdr w:val="nil"/>
          <w:shd w:val="clear" w:color="auto" w:fill="FFFFFF"/>
          <w:lang w:eastAsia="lt-LT"/>
        </w:rPr>
        <w:t xml:space="preserve"> bei joje išsakytą raginimą steigti tarptautinį baudžiamąjį tribunolą Rusijos Federacijos įvykdytam agresijos nusikaltimui bei kitiems karo nusikaltimams ištirti ir įvertinti;</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i/>
          <w:iCs/>
          <w:color w:val="000000"/>
          <w:spacing w:val="3"/>
          <w:szCs w:val="24"/>
          <w:bdr w:val="nil"/>
          <w:lang w:eastAsia="lt-LT"/>
        </w:rPr>
        <w:t xml:space="preserve">vadovaudamasis </w:t>
      </w:r>
      <w:r>
        <w:rPr>
          <w:rFonts w:eastAsia="Arial Unicode MS" w:cs="Arial Unicode MS"/>
          <w:color w:val="000000"/>
          <w:spacing w:val="3"/>
          <w:szCs w:val="24"/>
          <w:bdr w:val="nil"/>
          <w:lang w:eastAsia="lt-LT"/>
        </w:rPr>
        <w:t xml:space="preserve">Konvencijos dėl kelio užkirtimo genocido nusikaltimui ir baudimo už jį bei Tarptautinio baudžiamojo teismo Romos statuto nuostatomis; </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i/>
          <w:iCs/>
          <w:color w:val="000000"/>
          <w:spacing w:val="3"/>
          <w:szCs w:val="24"/>
          <w:bdr w:val="nil"/>
          <w:lang w:eastAsia="lt-LT"/>
        </w:rPr>
        <w:t>pabrėždamas</w:t>
      </w:r>
      <w:r>
        <w:rPr>
          <w:rFonts w:eastAsia="Arial Unicode MS" w:cs="Arial Unicode MS"/>
          <w:color w:val="000000"/>
          <w:spacing w:val="3"/>
          <w:szCs w:val="24"/>
          <w:bdr w:val="nil"/>
          <w:lang w:eastAsia="lt-LT"/>
        </w:rPr>
        <w:t xml:space="preserve"> tarptautinį teisinį valstybių įsipareigojimą bendradarbiauti, siekiant nutraukti visuotinai pripažintų tarptautinės teisės normų, įskaitant genocido draudimą, pažeidimus, taip pat nusikaltimus žmoniškumui ir karo nusikaltimus;</w:t>
      </w:r>
    </w:p>
    <w:p>
      <w:pPr>
        <w:pBdr>
          <w:top w:val="nil"/>
          <w:left w:val="nil"/>
          <w:bottom w:val="nil"/>
          <w:right w:val="nil"/>
          <w:between w:val="nil"/>
          <w:bar w:val="nil"/>
        </w:pBdr>
        <w:spacing w:line="360" w:lineRule="auto"/>
        <w:ind w:firstLine="782"/>
        <w:jc w:val="both"/>
        <w:rPr>
          <w:rFonts w:ascii="Calibri" w:eastAsia="Arial Unicode MS" w:hAnsi="Calibri" w:cs="Calibri"/>
          <w:sz w:val="22"/>
          <w:szCs w:val="22"/>
          <w:bdr w:val="nil"/>
        </w:rPr>
      </w:pPr>
      <w:r>
        <w:rPr>
          <w:rFonts w:eastAsia="Arial Unicode MS"/>
          <w:i/>
          <w:spacing w:val="3"/>
          <w:szCs w:val="24"/>
          <w:bdr w:val="nil"/>
        </w:rPr>
        <w:t>būdamas įsitikinęs</w:t>
      </w:r>
      <w:r>
        <w:rPr>
          <w:rFonts w:eastAsia="Arial Unicode MS"/>
          <w:spacing w:val="3"/>
          <w:szCs w:val="24"/>
          <w:bdr w:val="nil"/>
        </w:rPr>
        <w:t>, kad Rusijos Federacijos pradėto karo pagrindinis tikslas yra Ukrainos tautos ir jos tapatybės naikinimas bei jos teisės į nepriklausomą vystymąsi paneigimas;</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i/>
          <w:iCs/>
          <w:color w:val="000000"/>
          <w:spacing w:val="3"/>
          <w:szCs w:val="24"/>
          <w:bdr w:val="nil"/>
          <w:lang w:eastAsia="lt-LT"/>
        </w:rPr>
        <w:t>atsižvelgdamas</w:t>
      </w:r>
      <w:r>
        <w:rPr>
          <w:rFonts w:eastAsia="Arial Unicode MS" w:cs="Arial Unicode MS"/>
          <w:color w:val="000000"/>
          <w:spacing w:val="3"/>
          <w:szCs w:val="24"/>
          <w:bdr w:val="nil"/>
          <w:lang w:eastAsia="lt-LT"/>
        </w:rPr>
        <w:t xml:space="preserve"> į viešus Rusijos Federacijos prezidento </w:t>
      </w:r>
      <w:r>
        <w:rPr>
          <w:rFonts w:eastAsia="Arial Unicode MS" w:cs="Arial Unicode MS"/>
          <w:spacing w:val="3"/>
          <w:szCs w:val="24"/>
          <w:bdr w:val="nil"/>
          <w:lang w:eastAsia="lt-LT"/>
        </w:rPr>
        <w:t>ir</w:t>
      </w:r>
      <w:r>
        <w:rPr>
          <w:rFonts w:eastAsia="Arial Unicode MS" w:cs="Arial Unicode MS"/>
          <w:color w:val="FF2E17"/>
          <w:spacing w:val="3"/>
          <w:szCs w:val="24"/>
          <w:bdr w:val="nil"/>
          <w:lang w:eastAsia="lt-LT"/>
        </w:rPr>
        <w:t xml:space="preserve"> </w:t>
      </w:r>
      <w:r>
        <w:rPr>
          <w:rFonts w:eastAsia="Arial Unicode MS" w:cs="Arial Unicode MS"/>
          <w:color w:val="000000"/>
          <w:spacing w:val="3"/>
          <w:szCs w:val="24"/>
          <w:bdr w:val="nil"/>
          <w:lang w:eastAsia="lt-LT"/>
        </w:rPr>
        <w:t xml:space="preserve">kitų pareigūnų pareiškimus bei raginimus </w:t>
      </w:r>
      <w:r>
        <w:rPr>
          <w:rFonts w:eastAsia="Arial Unicode MS" w:cs="Arial Unicode MS"/>
          <w:spacing w:val="3"/>
          <w:szCs w:val="24"/>
          <w:bdr w:val="nil"/>
          <w:lang w:eastAsia="lt-LT"/>
        </w:rPr>
        <w:t>valstybės valdomoje žiniasklaidoje</w:t>
      </w:r>
      <w:r>
        <w:rPr>
          <w:rFonts w:eastAsia="Arial Unicode MS" w:cs="Arial Unicode MS"/>
          <w:strike/>
          <w:color w:val="FF311A"/>
          <w:spacing w:val="3"/>
          <w:szCs w:val="24"/>
          <w:bdr w:val="nil"/>
          <w:lang w:eastAsia="lt-LT"/>
        </w:rPr>
        <w:t xml:space="preserve"> </w:t>
      </w:r>
      <w:r>
        <w:rPr>
          <w:rFonts w:eastAsia="Arial Unicode MS" w:cs="Arial Unicode MS"/>
          <w:color w:val="000000"/>
          <w:spacing w:val="3"/>
          <w:szCs w:val="24"/>
          <w:bdr w:val="nil"/>
          <w:lang w:eastAsia="lt-LT"/>
        </w:rPr>
        <w:t xml:space="preserve">naikinti </w:t>
      </w:r>
      <w:r>
        <w:rPr>
          <w:rFonts w:eastAsia="Arial Unicode MS" w:cs="Arial Unicode MS"/>
          <w:spacing w:val="3"/>
          <w:szCs w:val="24"/>
          <w:bdr w:val="nil"/>
          <w:lang w:eastAsia="lt-LT"/>
        </w:rPr>
        <w:t>Ukrainos tautą</w:t>
      </w:r>
      <w:r>
        <w:rPr>
          <w:rFonts w:eastAsia="Arial Unicode MS" w:cs="Arial Unicode MS"/>
          <w:color w:val="000000"/>
          <w:spacing w:val="3"/>
          <w:szCs w:val="24"/>
          <w:bdr w:val="nil"/>
          <w:lang w:eastAsia="lt-LT"/>
        </w:rPr>
        <w:t>;</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i/>
          <w:iCs/>
          <w:color w:val="000000"/>
          <w:spacing w:val="3"/>
          <w:szCs w:val="24"/>
          <w:bdr w:val="nil"/>
          <w:lang w:eastAsia="lt-LT"/>
        </w:rPr>
        <w:t>smerkdamas</w:t>
      </w:r>
      <w:r>
        <w:rPr>
          <w:rFonts w:eastAsia="Arial Unicode MS" w:cs="Arial Unicode MS"/>
          <w:color w:val="000000"/>
          <w:spacing w:val="3"/>
          <w:szCs w:val="24"/>
          <w:bdr w:val="nil"/>
          <w:lang w:eastAsia="lt-LT"/>
        </w:rPr>
        <w:t xml:space="preserve"> Rusijos Federacijos politiką, </w:t>
      </w:r>
      <w:r>
        <w:rPr>
          <w:rFonts w:eastAsia="Arial Unicode MS" w:cs="Arial Unicode MS"/>
          <w:spacing w:val="3"/>
          <w:szCs w:val="24"/>
          <w:bdr w:val="nil"/>
          <w:lang w:eastAsia="lt-LT"/>
        </w:rPr>
        <w:t xml:space="preserve">iškreipiančią Ukrainos tautos tapatybę bei </w:t>
      </w:r>
      <w:r>
        <w:rPr>
          <w:rFonts w:eastAsia="Arial Unicode MS" w:cs="Arial Unicode MS"/>
          <w:color w:val="000000"/>
          <w:spacing w:val="3"/>
          <w:szCs w:val="24"/>
          <w:bdr w:val="nil"/>
          <w:lang w:eastAsia="lt-LT"/>
        </w:rPr>
        <w:t>nepriklausomybės troškimą, skleidžiant melagingas ideologemas, grįstas sąmoningai klaidingu ir manipuliaciniu Ukrainos patriotizmo tapatinimu su „nacizmu“;</w:t>
      </w:r>
    </w:p>
    <w:p>
      <w:pPr>
        <w:pBdr>
          <w:top w:val="nil"/>
          <w:left w:val="nil"/>
          <w:bottom w:val="nil"/>
          <w:right w:val="nil"/>
          <w:between w:val="nil"/>
          <w:bar w:val="nil"/>
        </w:pBdr>
        <w:spacing w:line="360" w:lineRule="auto"/>
        <w:ind w:firstLine="720"/>
        <w:jc w:val="both"/>
        <w:rPr>
          <w:rFonts w:eastAsia="Arial Unicode MS" w:cs="Arial Unicode MS"/>
          <w:spacing w:val="3"/>
          <w:szCs w:val="24"/>
          <w:bdr w:val="nil"/>
          <w:lang w:eastAsia="lt-LT"/>
        </w:rPr>
      </w:pPr>
      <w:r>
        <w:rPr>
          <w:rFonts w:eastAsia="Arial Unicode MS" w:cs="Arial Unicode MS"/>
          <w:i/>
          <w:iCs/>
          <w:color w:val="000000"/>
          <w:spacing w:val="3"/>
          <w:szCs w:val="24"/>
          <w:bdr w:val="nil"/>
          <w:lang w:eastAsia="lt-LT"/>
        </w:rPr>
        <w:t>atsižvelgdamas</w:t>
      </w:r>
      <w:r>
        <w:rPr>
          <w:rFonts w:eastAsia="Arial Unicode MS" w:cs="Arial Unicode MS"/>
          <w:color w:val="000000"/>
          <w:spacing w:val="3"/>
          <w:szCs w:val="24"/>
          <w:bdr w:val="nil"/>
          <w:lang w:eastAsia="lt-LT"/>
        </w:rPr>
        <w:t xml:space="preserve"> į Rusijos Federacijos politikos, nukreiptos į masinį Ukrainos gyventojų naikinimą, Ukrainos suvereniteto ir teritorinio vientisumo pažeidimą </w:t>
      </w:r>
      <w:r>
        <w:rPr>
          <w:rFonts w:eastAsia="Arial Unicode MS" w:cs="Arial Unicode MS"/>
          <w:spacing w:val="3"/>
          <w:szCs w:val="24"/>
          <w:bdr w:val="nil"/>
          <w:lang w:eastAsia="lt-LT"/>
        </w:rPr>
        <w:t>bei pastangų likviduoti Ukrainos valstybingumą nuoseklumą ir sistemiškumą;</w:t>
      </w:r>
    </w:p>
    <w:p>
      <w:pPr>
        <w:pBdr>
          <w:top w:val="nil"/>
          <w:left w:val="nil"/>
          <w:bottom w:val="nil"/>
          <w:right w:val="nil"/>
          <w:between w:val="nil"/>
          <w:bar w:val="nil"/>
        </w:pBdr>
        <w:spacing w:line="360" w:lineRule="auto"/>
        <w:ind w:firstLine="720"/>
        <w:jc w:val="both"/>
        <w:rPr>
          <w:rFonts w:ascii="Calibri" w:eastAsia="Arial Unicode MS" w:hAnsi="Calibri" w:cs="Calibri"/>
          <w:color w:val="1F497D"/>
          <w:sz w:val="22"/>
          <w:szCs w:val="22"/>
          <w:bdr w:val="nil"/>
        </w:rPr>
      </w:pPr>
      <w:r>
        <w:rPr>
          <w:rFonts w:eastAsia="Arial Unicode MS"/>
          <w:i/>
          <w:iCs/>
          <w:spacing w:val="3"/>
          <w:szCs w:val="24"/>
          <w:bdr w:val="nil"/>
        </w:rPr>
        <w:t>pabrėždamas</w:t>
      </w:r>
      <w:r>
        <w:rPr>
          <w:rFonts w:eastAsia="Arial Unicode MS"/>
          <w:spacing w:val="3"/>
          <w:szCs w:val="24"/>
          <w:bdr w:val="nil"/>
        </w:rPr>
        <w:t>, kad baudžiamosios veikos pagal tarptautinę teisę, ypač Konvencijos dėl kelio užkirtimo genocido nusikaltimui ir baudimo už jį nuostatas, apima genocidą, susitarimą vykdyti genocidą, tiesioginį ir viešą kurstymą vykdyti genocidą, pasikėsinimą vykdyti genocidą, bendrininkavimą vykdant genocidą;</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i/>
          <w:iCs/>
          <w:color w:val="000000"/>
          <w:spacing w:val="3"/>
          <w:szCs w:val="24"/>
          <w:bdr w:val="nil"/>
          <w:lang w:eastAsia="lt-LT"/>
        </w:rPr>
        <w:t xml:space="preserve">matydamas, </w:t>
      </w:r>
      <w:r>
        <w:rPr>
          <w:rFonts w:eastAsia="Arial Unicode MS" w:cs="Arial Unicode MS"/>
          <w:color w:val="000000"/>
          <w:spacing w:val="3"/>
          <w:szCs w:val="24"/>
          <w:bdr w:val="nil"/>
          <w:lang w:eastAsia="lt-LT"/>
        </w:rPr>
        <w:t>kad yra aiškių ir pakankamų įrodymų, kad Rusijos Federacijos ginkluotosios pajėgos, vadovaujamos prezidento Vladimiro Putino, vykdo sistemingus ir sunkius karo nusikaltimus ir nusikaltimus žmoniškumui prieš Ukrainos žmones;</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i/>
          <w:iCs/>
          <w:color w:val="000000"/>
          <w:spacing w:val="3"/>
          <w:szCs w:val="24"/>
          <w:bdr w:val="nil"/>
          <w:lang w:eastAsia="lt-LT"/>
        </w:rPr>
        <w:t>remdamasis</w:t>
      </w:r>
      <w:r>
        <w:rPr>
          <w:rFonts w:eastAsia="Arial Unicode MS" w:cs="Arial Unicode MS"/>
          <w:color w:val="000000"/>
          <w:spacing w:val="3"/>
          <w:szCs w:val="24"/>
          <w:bdr w:val="nil"/>
          <w:lang w:eastAsia="lt-LT"/>
        </w:rPr>
        <w:t xml:space="preserve"> tuo, kad Rusijos Federacijos ginkluotųjų pajėgų įvykdyti nusikaltimai apima:</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color w:val="000000"/>
          <w:spacing w:val="3"/>
          <w:szCs w:val="24"/>
          <w:bdr w:val="nil"/>
          <w:lang w:eastAsia="lt-LT"/>
        </w:rPr>
        <w:t xml:space="preserve">– masinius Rusijos Federacijos ginkluotųjų pajėgų ir samdinių </w:t>
      </w:r>
      <w:r>
        <w:rPr>
          <w:rFonts w:eastAsia="Arial Unicode MS" w:cs="Arial Unicode MS"/>
          <w:spacing w:val="3"/>
          <w:szCs w:val="24"/>
          <w:bdr w:val="nil"/>
          <w:lang w:eastAsia="lt-LT"/>
        </w:rPr>
        <w:t xml:space="preserve">vykdomus karo nusikaltimus Ukrainos teritorijoje (ypač Bučos, Irpinės, Mariupolio, Borodjankos, Gostomelio miestuose ir daugelyje kitų Ukrainos gyvenviečių), siekiant visiškai ar iš dalies sunaikinti ukrainiečių tautą, palaužiant jos dvasią, žudant jos narius ištisomis šeimoms, įskaitant vaikus, grobiant juos, kankinant, prievartaujant, žaginant, tyčiojantis iš nužudytųjų ir nukankintųjų kūnų. Išlaisvinus Rusijos Federacijos okupuotas teritorijas, tokių siaubingų, nežmoniškų ir ciniškų faktų vis daugėja ir dar daugiau </w:t>
      </w:r>
      <w:r>
        <w:rPr>
          <w:rFonts w:eastAsia="Arial Unicode MS" w:cs="Arial Unicode MS"/>
          <w:color w:val="000000"/>
          <w:spacing w:val="3"/>
          <w:szCs w:val="24"/>
          <w:bdr w:val="nil"/>
          <w:lang w:eastAsia="lt-LT"/>
        </w:rPr>
        <w:t>gali būti fiksuojama ateityje;</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color w:val="000000"/>
          <w:spacing w:val="3"/>
          <w:szCs w:val="24"/>
          <w:bdr w:val="nil"/>
          <w:lang w:eastAsia="lt-LT"/>
        </w:rPr>
        <w:t>– Rusijos Federacijos ginkluotųjų pajėgų sistemingas</w:t>
      </w:r>
      <w:r>
        <w:rPr>
          <w:rFonts w:eastAsia="Arial Unicode MS" w:cs="Arial Unicode MS"/>
          <w:color w:val="FF2E0D"/>
          <w:spacing w:val="3"/>
          <w:szCs w:val="24"/>
          <w:bdr w:val="nil"/>
          <w:lang w:eastAsia="lt-LT"/>
        </w:rPr>
        <w:t xml:space="preserve"> </w:t>
      </w:r>
      <w:r>
        <w:rPr>
          <w:rFonts w:eastAsia="Arial Unicode MS" w:cs="Arial Unicode MS"/>
          <w:color w:val="000000"/>
          <w:spacing w:val="3"/>
          <w:szCs w:val="24"/>
          <w:bdr w:val="nil"/>
          <w:lang w:eastAsia="lt-LT"/>
        </w:rPr>
        <w:t xml:space="preserve">tyčines civilių žudynes, sąmoningai taikantis į civilius gyventojus, civilinius objektus ir ypatingai saugomus objektus (ligonines, gimdymo namus, mokyklas, vaikų darželius). Taip pat tyčinį tokių gyvenimo sąlygų kūrimą, kuris sukelia išskirtines kančias Ukrainos žmonėms, įskaitant gyvenviečių blokadą, humanitarinės pagalbos ir civilių evakuacijos trukdymą, infrastruktūros objektų, </w:t>
      </w:r>
      <w:r>
        <w:rPr>
          <w:rFonts w:eastAsia="Arial Unicode MS" w:cs="Arial Unicode MS"/>
          <w:spacing w:val="3"/>
          <w:szCs w:val="24"/>
          <w:bdr w:val="nil"/>
          <w:lang w:eastAsia="lt-LT"/>
        </w:rPr>
        <w:t>būtinų</w:t>
      </w:r>
      <w:r>
        <w:rPr>
          <w:rFonts w:eastAsia="Arial Unicode MS" w:cs="Arial Unicode MS"/>
          <w:color w:val="FF3B16"/>
          <w:spacing w:val="3"/>
          <w:szCs w:val="24"/>
          <w:bdr w:val="nil"/>
          <w:lang w:eastAsia="lt-LT"/>
        </w:rPr>
        <w:t xml:space="preserve"> </w:t>
      </w:r>
      <w:r>
        <w:rPr>
          <w:rFonts w:eastAsia="Arial Unicode MS" w:cs="Arial Unicode MS"/>
          <w:color w:val="000000"/>
          <w:spacing w:val="3"/>
          <w:szCs w:val="24"/>
          <w:bdr w:val="nil"/>
          <w:lang w:eastAsia="lt-LT"/>
        </w:rPr>
        <w:t xml:space="preserve">pagrindiniams žmonių poreikiams </w:t>
      </w:r>
      <w:r>
        <w:rPr>
          <w:rFonts w:eastAsia="Arial Unicode MS" w:cs="Arial Unicode MS"/>
          <w:spacing w:val="3"/>
          <w:szCs w:val="24"/>
          <w:bdr w:val="nil"/>
          <w:lang w:eastAsia="lt-LT"/>
        </w:rPr>
        <w:t>tenkinti,</w:t>
      </w:r>
      <w:r>
        <w:rPr>
          <w:rFonts w:eastAsia="Arial Unicode MS" w:cs="Arial Unicode MS"/>
          <w:color w:val="000000"/>
          <w:spacing w:val="3"/>
          <w:szCs w:val="24"/>
          <w:bdr w:val="nil"/>
          <w:lang w:eastAsia="lt-LT"/>
        </w:rPr>
        <w:t xml:space="preserve"> užgrobimą ir tyčinį naikinimą;</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color w:val="000000"/>
          <w:spacing w:val="3"/>
          <w:szCs w:val="24"/>
          <w:bdr w:val="nil"/>
          <w:lang w:eastAsia="lt-LT"/>
        </w:rPr>
        <w:t>– masinį moterų ir vaikų seksualinį išnaudojimą. Prievartavimai, išžaginimai moteris ir mergaites žaloja fiziškai, o išgyvenimo atveju palieka neatitaisomas psichologines traumas;</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color w:val="000000"/>
          <w:spacing w:val="3"/>
          <w:szCs w:val="24"/>
          <w:bdr w:val="nil"/>
          <w:lang w:eastAsia="lt-LT"/>
        </w:rPr>
        <w:t>– prievartinį ukrainiečių vaikų perkėlimą į Rusijos Federacijos teritoriją ar laikinai jos kontroliuojamas teritorijas, siekiant sunaikinti jų ukrainietišką tapatybę, taip pat tūkstančių civilių Ukrainos gyventojų išvarymą iš jų namų ir deportavimą į Rusijos Federacijos teritoriją;</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color w:val="000000"/>
          <w:spacing w:val="3"/>
          <w:szCs w:val="24"/>
          <w:bdr w:val="nil"/>
          <w:lang w:eastAsia="lt-LT"/>
        </w:rPr>
        <w:t>– plačiai paplitusius bei sistemingus fizinio ir psichologinio smurto atvejus prieš Ukrainos gyventojus, Ukrainos valdžios ir vietos valdžios, visuomeninių organizacijų atstovus ir kitus vietos aktyvistus, žurnalistus, dvasininkus bei kitus Ukrainos visuomenėje autoritetingus asmenis;</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color w:val="000000"/>
          <w:spacing w:val="3"/>
          <w:szCs w:val="24"/>
          <w:bdr w:val="nil"/>
          <w:lang w:eastAsia="lt-LT"/>
        </w:rPr>
        <w:t xml:space="preserve">– sistemingus Rusijos Federacijos veiksmus, kuriais siekiama sudaryti sąlygas laipsniškam Ukrainos valstybės sunaikinimui, </w:t>
      </w:r>
      <w:r>
        <w:rPr>
          <w:rFonts w:eastAsia="Arial Unicode MS" w:cs="Arial Unicode MS"/>
          <w:spacing w:val="3"/>
          <w:szCs w:val="24"/>
          <w:bdr w:val="nil"/>
          <w:lang w:eastAsia="lt-LT"/>
        </w:rPr>
        <w:t xml:space="preserve">pažeidžiant saugumą ir naikinant </w:t>
      </w:r>
      <w:r>
        <w:rPr>
          <w:rFonts w:eastAsia="Arial Unicode MS" w:cs="Arial Unicode MS"/>
          <w:color w:val="000000"/>
          <w:spacing w:val="3"/>
          <w:szCs w:val="24"/>
          <w:bdr w:val="nil"/>
          <w:lang w:eastAsia="lt-LT"/>
        </w:rPr>
        <w:t xml:space="preserve">šalies ekonominį potencialą, pasireiškiantį ekonominės infrastruktūros </w:t>
      </w:r>
      <w:r>
        <w:rPr>
          <w:rFonts w:eastAsia="Arial Unicode MS" w:cs="Arial Unicode MS"/>
          <w:spacing w:val="3"/>
          <w:szCs w:val="24"/>
          <w:bdr w:val="nil"/>
          <w:lang w:eastAsia="lt-LT"/>
        </w:rPr>
        <w:t>griovimu</w:t>
      </w:r>
      <w:r>
        <w:rPr>
          <w:rFonts w:eastAsia="Arial Unicode MS" w:cs="Arial Unicode MS"/>
          <w:color w:val="FF1007"/>
          <w:spacing w:val="3"/>
          <w:szCs w:val="24"/>
          <w:bdr w:val="nil"/>
          <w:lang w:eastAsia="lt-LT"/>
        </w:rPr>
        <w:t xml:space="preserve"> </w:t>
      </w:r>
      <w:r>
        <w:rPr>
          <w:rFonts w:eastAsia="Arial Unicode MS" w:cs="Arial Unicode MS"/>
          <w:color w:val="000000"/>
          <w:spacing w:val="3"/>
          <w:szCs w:val="24"/>
          <w:bdr w:val="nil"/>
          <w:lang w:eastAsia="lt-LT"/>
        </w:rPr>
        <w:t>(žala grūdų saugykloms, sėjos trikdymas, jūrinių prekybos kelių blokada, elektros ir dujų infrastruktūros naikinimas ir kt.);</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color w:val="000000"/>
          <w:spacing w:val="3"/>
          <w:szCs w:val="24"/>
          <w:bdr w:val="nil"/>
          <w:lang w:eastAsia="lt-LT"/>
        </w:rPr>
        <w:t xml:space="preserve">– Ukrainos muziejų, istorinių paminklų, kulto vietų, knygų </w:t>
      </w:r>
      <w:r>
        <w:rPr>
          <w:rFonts w:eastAsia="Arial Unicode MS" w:cs="Arial Unicode MS"/>
          <w:spacing w:val="3"/>
          <w:szCs w:val="24"/>
          <w:bdr w:val="nil"/>
          <w:lang w:eastAsia="lt-LT"/>
        </w:rPr>
        <w:t xml:space="preserve">ukrainiečių kalba </w:t>
      </w:r>
      <w:r>
        <w:rPr>
          <w:rFonts w:eastAsia="Arial Unicode MS" w:cs="Arial Unicode MS"/>
          <w:color w:val="000000"/>
          <w:spacing w:val="3"/>
          <w:szCs w:val="24"/>
          <w:bdr w:val="nil"/>
          <w:lang w:eastAsia="lt-LT"/>
        </w:rPr>
        <w:t>naikinimą, ukrainiečių kalbos vartojimo draudimą bei švietimo rusų kalba ir su rusiška ideologine orientacija įvedimą okupantų kontroliuojamose teritorijose, taip tikintis ištrinti kultūrinius, istorinius ir kalbinius bruožus, vienijančius Ukrainos tautą;</w:t>
      </w:r>
    </w:p>
    <w:p>
      <w:pPr>
        <w:pBdr>
          <w:top w:val="nil"/>
          <w:left w:val="nil"/>
          <w:bottom w:val="nil"/>
          <w:right w:val="nil"/>
          <w:between w:val="nil"/>
          <w:bar w:val="nil"/>
        </w:pBdr>
        <w:spacing w:line="360" w:lineRule="auto"/>
        <w:ind w:firstLine="720"/>
        <w:jc w:val="both"/>
        <w:rPr>
          <w:rFonts w:eastAsia="Arial Unicode MS" w:cs="Arial Unicode MS"/>
          <w:spacing w:val="3"/>
          <w:szCs w:val="24"/>
          <w:bdr w:val="nil"/>
          <w:lang w:eastAsia="lt-LT"/>
        </w:rPr>
      </w:pPr>
      <w:r>
        <w:rPr>
          <w:rFonts w:eastAsia="Arial Unicode MS" w:cs="Arial Unicode MS"/>
          <w:color w:val="000000"/>
          <w:spacing w:val="3"/>
          <w:szCs w:val="24"/>
          <w:bdr w:val="nil"/>
          <w:lang w:eastAsia="lt-LT"/>
        </w:rPr>
        <w:t>– Holokausto atminties įamžinimo naikinimą, įskaitant Babyn Yar Holokausto memorialo apgadinimą</w:t>
      </w:r>
      <w:r>
        <w:rPr>
          <w:rFonts w:eastAsia="Arial Unicode MS" w:cs="Arial Unicode MS"/>
          <w:spacing w:val="3"/>
          <w:szCs w:val="24"/>
          <w:bdr w:val="nil"/>
          <w:lang w:eastAsia="lt-LT"/>
        </w:rPr>
        <w:t>;</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b/>
          <w:bCs/>
          <w:color w:val="000000"/>
          <w:spacing w:val="3"/>
          <w:szCs w:val="24"/>
          <w:bdr w:val="nil"/>
          <w:lang w:eastAsia="lt-LT"/>
        </w:rPr>
        <w:t>pripažįsta</w:t>
      </w:r>
      <w:r>
        <w:rPr>
          <w:rFonts w:eastAsia="Arial Unicode MS" w:cs="Arial Unicode MS"/>
          <w:color w:val="000000"/>
          <w:spacing w:val="3"/>
          <w:szCs w:val="24"/>
          <w:bdr w:val="nil"/>
          <w:lang w:eastAsia="lt-LT"/>
        </w:rPr>
        <w:t xml:space="preserve"> Rusijos Federacijos ginkluotųjų pajėgų ir jos politinės bei karinės vadovybės vykdomą ginkluotą pilno masto agresiją – karą – prieš Ukrainą, prasidėjusią 2022 m. vasario 24 d., ukrainiečių tautos genocidu;</w:t>
      </w:r>
    </w:p>
    <w:p>
      <w:pPr>
        <w:pBdr>
          <w:top w:val="nil"/>
          <w:left w:val="nil"/>
          <w:bottom w:val="nil"/>
          <w:right w:val="nil"/>
          <w:between w:val="nil"/>
          <w:bar w:val="nil"/>
        </w:pBdr>
        <w:spacing w:line="360" w:lineRule="auto"/>
        <w:ind w:firstLine="720"/>
        <w:jc w:val="both"/>
        <w:rPr>
          <w:rFonts w:eastAsia="Arial Unicode MS" w:cs="Arial Unicode MS"/>
          <w:color w:val="000000"/>
          <w:spacing w:val="3"/>
          <w:szCs w:val="24"/>
          <w:bdr w:val="nil"/>
          <w:lang w:eastAsia="lt-LT"/>
        </w:rPr>
      </w:pPr>
      <w:r>
        <w:rPr>
          <w:rFonts w:eastAsia="Arial Unicode MS" w:cs="Arial Unicode MS"/>
          <w:b/>
          <w:bCs/>
          <w:color w:val="000000"/>
          <w:spacing w:val="3"/>
          <w:szCs w:val="24"/>
          <w:bdr w:val="nil"/>
          <w:lang w:eastAsia="lt-LT"/>
        </w:rPr>
        <w:t>ragina</w:t>
      </w:r>
      <w:r>
        <w:rPr>
          <w:rFonts w:eastAsia="Arial Unicode MS" w:cs="Arial Unicode MS"/>
          <w:color w:val="000000"/>
          <w:spacing w:val="3"/>
          <w:szCs w:val="24"/>
          <w:bdr w:val="nil"/>
          <w:lang w:eastAsia="lt-LT"/>
        </w:rPr>
        <w:t xml:space="preserve"> Jungtines Tautas, Europos Parlamentą, Europos Tarybos Parlamentinę Asamblėją, ESBO Parlamentinę Asamblėją, NATO Parlamentinę Asamblėją, užsienio šalių parlamentus ir vyriausybes pripažinti Rusijos Federacijos vykdomą Ukrainos tautos genocidą, karo nusikaltimus ir nusikaltimus žmoniškumui bei siekti atsakomybės už šiuos nusikaltimus;</w:t>
      </w:r>
    </w:p>
    <w:p>
      <w:pPr>
        <w:pBdr>
          <w:top w:val="nil"/>
          <w:left w:val="nil"/>
          <w:bottom w:val="nil"/>
          <w:right w:val="nil"/>
          <w:between w:val="nil"/>
          <w:bar w:val="nil"/>
        </w:pBdr>
        <w:spacing w:line="360" w:lineRule="auto"/>
        <w:ind w:firstLine="720"/>
        <w:jc w:val="both"/>
        <w:rPr>
          <w:rFonts w:eastAsia="Arial Unicode MS" w:cs="Arial Unicode MS"/>
          <w:spacing w:val="3"/>
          <w:szCs w:val="24"/>
          <w:bdr w:val="nil"/>
          <w:lang w:eastAsia="lt-LT"/>
        </w:rPr>
      </w:pPr>
      <w:r>
        <w:rPr>
          <w:rFonts w:eastAsia="Arial Unicode MS" w:cs="Arial Unicode MS"/>
          <w:b/>
          <w:bCs/>
          <w:spacing w:val="3"/>
          <w:szCs w:val="24"/>
          <w:bdr w:val="nil"/>
          <w:lang w:eastAsia="lt-LT"/>
        </w:rPr>
        <w:t>pasisako</w:t>
      </w:r>
      <w:r>
        <w:rPr>
          <w:rFonts w:eastAsia="Arial Unicode MS" w:cs="Arial Unicode MS"/>
          <w:spacing w:val="3"/>
          <w:szCs w:val="24"/>
          <w:bdr w:val="nil"/>
          <w:lang w:eastAsia="lt-LT"/>
        </w:rPr>
        <w:t xml:space="preserve"> už tai, kad suvienytomis tarptautinės bendruomenės pastangomis ir remiantis istorijoje žinomais precedentais (Niurnbergo, Tokijo, Siera Leonės ir kiti specialieji tribunolai) būtų įsteigtas Specialusis Tarptautinis Baudžiamasis Tribunolas (tolias – Specialusis Tribunolas) Rusijos agresijos nusikaltimui prieš suverenią Ukrainą ištyrimui ir įvertinimui bei kaltųjų patraukimui atsakomybėn; </w:t>
      </w:r>
    </w:p>
    <w:p>
      <w:pPr>
        <w:pBdr>
          <w:top w:val="nil"/>
          <w:left w:val="nil"/>
          <w:bottom w:val="nil"/>
          <w:right w:val="nil"/>
          <w:between w:val="nil"/>
          <w:bar w:val="nil"/>
        </w:pBdr>
        <w:spacing w:line="360" w:lineRule="auto"/>
        <w:ind w:firstLine="720"/>
        <w:jc w:val="both"/>
        <w:rPr>
          <w:rFonts w:eastAsia="Arial Unicode MS" w:cs="Arial Unicode MS"/>
          <w:spacing w:val="3"/>
          <w:szCs w:val="24"/>
          <w:bdr w:val="nil"/>
          <w:lang w:eastAsia="lt-LT"/>
        </w:rPr>
      </w:pPr>
      <w:r>
        <w:rPr>
          <w:rFonts w:eastAsia="Arial Unicode MS" w:cs="Arial Unicode MS"/>
          <w:b/>
          <w:bCs/>
          <w:spacing w:val="3"/>
          <w:szCs w:val="24"/>
          <w:bdr w:val="nil"/>
          <w:lang w:eastAsia="lt-LT"/>
        </w:rPr>
        <w:t>pareiškia</w:t>
      </w:r>
      <w:r>
        <w:rPr>
          <w:rFonts w:eastAsia="Arial Unicode MS" w:cs="Arial Unicode MS"/>
          <w:spacing w:val="3"/>
          <w:szCs w:val="24"/>
          <w:bdr w:val="nil"/>
          <w:lang w:eastAsia="lt-LT"/>
        </w:rPr>
        <w:t xml:space="preserve">, kad Lietuvos Respublika neapsiribos 2022 m. vasario 28 d. pateiktu ieškiniu Tarptautiniam Baudžiamajam Teismui ir aktyviai dalyvaus Specialiojo Tribunolo steigimo procese, remdama Ukrainos pastangas kartu su tarptautinėmis organizacijomis ir kitomis valstybėmis įsteigti legitimų ir platų aukščiausio lygio politinį pritarimą turintį tribunolą; </w:t>
      </w:r>
    </w:p>
    <w:p>
      <w:pPr>
        <w:pBdr>
          <w:top w:val="nil"/>
          <w:left w:val="nil"/>
          <w:bottom w:val="nil"/>
          <w:right w:val="nil"/>
          <w:between w:val="nil"/>
          <w:bar w:val="nil"/>
        </w:pBdr>
        <w:spacing w:line="360" w:lineRule="auto"/>
        <w:ind w:firstLine="720"/>
        <w:jc w:val="both"/>
        <w:rPr>
          <w:rFonts w:eastAsia="Arial Unicode MS" w:cs="Arial Unicode MS"/>
          <w:spacing w:val="3"/>
          <w:szCs w:val="24"/>
          <w:bdr w:val="nil"/>
          <w:lang w:eastAsia="lt-LT"/>
        </w:rPr>
      </w:pPr>
      <w:r>
        <w:rPr>
          <w:rFonts w:eastAsia="Arial Unicode MS" w:cs="Arial Unicode MS"/>
          <w:b/>
          <w:bCs/>
          <w:spacing w:val="3"/>
          <w:szCs w:val="24"/>
          <w:bdr w:val="nil"/>
          <w:lang w:eastAsia="lt-LT"/>
        </w:rPr>
        <w:t>laikosi nuomonės</w:t>
      </w:r>
      <w:r>
        <w:rPr>
          <w:rFonts w:eastAsia="Arial Unicode MS" w:cs="Arial Unicode MS"/>
          <w:spacing w:val="3"/>
          <w:szCs w:val="24"/>
          <w:bdr w:val="nil"/>
          <w:lang w:eastAsia="lt-LT"/>
        </w:rPr>
        <w:t>, kad teisingumas bus įvykdytas tik tada, kai atsakomybėn bus patraukti Rusijos valstybės vadovai ir kiti aukščiausiojo rango nusikaltimų vykdytojai bei tiesioginiai vykdytojai;</w:t>
      </w:r>
    </w:p>
    <w:p>
      <w:pPr>
        <w:pBdr>
          <w:top w:val="nil"/>
          <w:left w:val="nil"/>
          <w:bottom w:val="nil"/>
          <w:right w:val="nil"/>
          <w:between w:val="nil"/>
          <w:bar w:val="nil"/>
        </w:pBdr>
        <w:spacing w:line="360" w:lineRule="auto"/>
        <w:ind w:firstLine="720"/>
        <w:jc w:val="both"/>
        <w:rPr>
          <w:rFonts w:eastAsia="Arial Unicode MS" w:cs="Arial Unicode MS"/>
          <w:color w:val="FF321B"/>
          <w:spacing w:val="3"/>
          <w:szCs w:val="24"/>
          <w:bdr w:val="nil"/>
          <w:lang w:eastAsia="lt-LT"/>
        </w:rPr>
      </w:pPr>
      <w:r>
        <w:rPr>
          <w:rFonts w:eastAsia="Arial Unicode MS" w:cs="Arial Unicode MS"/>
          <w:b/>
          <w:bCs/>
          <w:color w:val="000000"/>
          <w:spacing w:val="3"/>
          <w:szCs w:val="24"/>
          <w:bdr w:val="nil"/>
          <w:lang w:eastAsia="lt-LT"/>
        </w:rPr>
        <w:t>pritaria</w:t>
      </w:r>
      <w:r>
        <w:rPr>
          <w:rFonts w:eastAsia="Arial Unicode MS" w:cs="Arial Unicode MS"/>
          <w:color w:val="000000"/>
          <w:spacing w:val="3"/>
          <w:szCs w:val="24"/>
          <w:bdr w:val="nil"/>
          <w:lang w:eastAsia="lt-LT"/>
        </w:rPr>
        <w:t xml:space="preserve">, kad </w:t>
      </w:r>
      <w:r>
        <w:rPr>
          <w:rFonts w:eastAsia="Arial Unicode MS" w:cs="Arial Unicode MS"/>
          <w:bCs/>
          <w:spacing w:val="3"/>
          <w:szCs w:val="24"/>
          <w:bdr w:val="nil"/>
          <w:lang w:eastAsia="lt-LT"/>
        </w:rPr>
        <w:t xml:space="preserve">Specialusis Tribunolas </w:t>
      </w:r>
      <w:r>
        <w:rPr>
          <w:rFonts w:eastAsia="Arial Unicode MS" w:cs="Arial Unicode MS"/>
          <w:color w:val="000000"/>
          <w:spacing w:val="3"/>
          <w:szCs w:val="24"/>
          <w:bdr w:val="nil"/>
          <w:lang w:eastAsia="lt-LT"/>
        </w:rPr>
        <w:t>turėtų turėti galią išduoti tarptautinius arešto orderius ir nebūtų apribotas valstybės imuniteto arba valstybių ir vyriausybių vadovų bei kitų valstybės pareigūnų imuniteto;</w:t>
      </w:r>
    </w:p>
    <w:p>
      <w:pPr>
        <w:pBdr>
          <w:top w:val="nil"/>
          <w:left w:val="nil"/>
          <w:bottom w:val="nil"/>
          <w:right w:val="nil"/>
          <w:between w:val="nil"/>
          <w:bar w:val="nil"/>
        </w:pBdr>
        <w:spacing w:line="360" w:lineRule="auto"/>
        <w:ind w:firstLine="720"/>
        <w:jc w:val="both"/>
        <w:rPr>
          <w:rFonts w:ascii="Calibri" w:eastAsia="Arial Unicode MS" w:hAnsi="Calibri" w:cs="Calibri"/>
          <w:color w:val="1F497D"/>
          <w:sz w:val="22"/>
          <w:szCs w:val="22"/>
          <w:bdr w:val="nil"/>
        </w:rPr>
      </w:pPr>
      <w:r>
        <w:rPr>
          <w:rFonts w:eastAsia="Arial Unicode MS"/>
          <w:b/>
          <w:bCs/>
          <w:spacing w:val="3"/>
          <w:szCs w:val="24"/>
          <w:bdr w:val="nil"/>
        </w:rPr>
        <w:t>kreipiasi</w:t>
      </w:r>
      <w:r>
        <w:rPr>
          <w:rFonts w:eastAsia="Arial Unicode MS"/>
          <w:spacing w:val="3"/>
          <w:szCs w:val="24"/>
          <w:bdr w:val="nil"/>
        </w:rPr>
        <w:t xml:space="preserve"> į kitas valstybes, kad jos pasinaudotų universaliosios jurisdikcijos principu, tiriant ir patraukiant baudžiamojon atsakomybėn už nusikaltimus žmoniškumui, genocido ar karo nusikaltimus, padarytus už jų teritorijos ribų; </w:t>
      </w:r>
    </w:p>
    <w:p>
      <w:pPr>
        <w:pBdr>
          <w:top w:val="nil"/>
          <w:left w:val="nil"/>
          <w:bottom w:val="nil"/>
          <w:right w:val="nil"/>
          <w:between w:val="nil"/>
          <w:bar w:val="nil"/>
        </w:pBdr>
        <w:spacing w:line="360" w:lineRule="auto"/>
        <w:ind w:firstLine="720"/>
        <w:jc w:val="both"/>
        <w:rPr>
          <w:rFonts w:eastAsia="Arial Unicode MS"/>
          <w:spacing w:val="3"/>
          <w:szCs w:val="24"/>
          <w:bdr w:val="nil"/>
        </w:rPr>
      </w:pPr>
      <w:r>
        <w:rPr>
          <w:rFonts w:eastAsia="Arial Unicode MS"/>
          <w:b/>
          <w:bCs/>
          <w:spacing w:val="3"/>
          <w:szCs w:val="24"/>
          <w:bdr w:val="nil"/>
        </w:rPr>
        <w:t>konstatuoja</w:t>
      </w:r>
      <w:r>
        <w:rPr>
          <w:rFonts w:eastAsia="Arial Unicode MS"/>
          <w:spacing w:val="3"/>
          <w:szCs w:val="24"/>
          <w:bdr w:val="nil"/>
        </w:rPr>
        <w:t xml:space="preserve">, kad Rusijos Federacija, kurios karinės pajėgos sąmoningai ir sistemingai renkasi bombardavimo taikiniais civilinius objektus, yra terorizmą remianti ir vykdanti valstybė. </w:t>
      </w:r>
    </w:p>
    <w:p>
      <w:pPr>
        <w:pBdr>
          <w:top w:val="nil"/>
          <w:left w:val="nil"/>
          <w:bottom w:val="nil"/>
          <w:right w:val="nil"/>
          <w:between w:val="nil"/>
          <w:bar w:val="nil"/>
        </w:pBdr>
        <w:spacing w:line="259" w:lineRule="auto"/>
        <w:rPr>
          <w:rFonts w:eastAsia="Arial Unicode MS" w:cs="Arial Unicode MS"/>
          <w:color w:val="000000"/>
          <w:sz w:val="22"/>
          <w:szCs w:val="22"/>
          <w:bdr w:val="nil"/>
          <w:lang w:eastAsia="lt-LT"/>
        </w:rPr>
      </w:pP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Teikia Seimo nariai</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Paulius Saudargas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Viktorija Čmilytė-Nielsen</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Ingrida Šimonytė</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Laima Liucija Andrikienė</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Gabrielius Landsbergis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Laurynas Kasčiūnas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Ieva Pakarklytė</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Stasys Šedbaras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Eugenijus Jovaiša</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Giedrius Surplys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Saulius Skvernelis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Eugenijus Gentvilas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Audronius Ažubalis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Marius Matijošaitis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Žygimantas Pavilionis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Andrius Mazuronis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Arvydas Pocius</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Dovilė Šakalienė</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r>
        <w:rPr>
          <w:rFonts w:eastAsia="Arial Unicode MS" w:cs="Arial Unicode MS"/>
          <w:color w:val="000000"/>
          <w:szCs w:val="24"/>
          <w:bdr w:val="nil"/>
          <w:lang w:eastAsia="lt-LT"/>
        </w:rPr>
        <w:t>Vilija Aleknaitė-Abramikienė</w:t>
      </w:r>
    </w:p>
    <w:p>
      <w:pPr>
        <w:rPr>
          <w:sz w:val="14"/>
          <w:szCs w:val="14"/>
        </w:rPr>
      </w:pPr>
    </w:p>
    <w:p>
      <w:pPr>
        <w:pBdr>
          <w:top w:val="nil"/>
          <w:left w:val="nil"/>
          <w:bottom w:val="nil"/>
          <w:right w:val="nil"/>
          <w:between w:val="nil"/>
          <w:bar w:val="nil"/>
        </w:pBdr>
        <w:spacing w:line="259" w:lineRule="auto"/>
        <w:ind w:left="1296" w:hanging="1296"/>
        <w:rPr>
          <w:rFonts w:eastAsia="Arial Unicode MS" w:cs="Arial Unicode MS"/>
          <w:color w:val="000000"/>
          <w:szCs w:val="24"/>
          <w:bdr w:val="nil"/>
          <w:lang w:eastAsia="lt-LT"/>
        </w:rPr>
      </w:pPr>
    </w:p>
    <w:sectPr>
      <w:pgSz w:w="11900" w:h="16840"/>
      <w:pgMar w:top="1440" w:right="1080" w:bottom="1440" w:left="1080" w:header="567" w:footer="567" w:gutter="0"/>
      <w:cols w:space="129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pBdr>
          <w:top w:val="nil"/>
          <w:left w:val="nil"/>
          <w:bottom w:val="nil"/>
          <w:right w:val="nil"/>
          <w:between w:val="nil"/>
          <w:bar w:val="nil"/>
        </w:pBdr>
        <w:rPr>
          <w:rFonts w:eastAsia="Arial Unicode MS"/>
          <w:szCs w:val="24"/>
          <w:bdr w:val="nil"/>
          <w:lang w:val="en-US"/>
        </w:rPr>
      </w:pPr>
      <w:r>
        <w:rPr>
          <w:rFonts w:eastAsia="Arial Unicode MS"/>
          <w:szCs w:val="24"/>
          <w:bdr w:val="nil"/>
          <w:lang w:val="en-US"/>
        </w:rPr>
        <w:separator/>
      </w:r>
    </w:p>
  </w:endnote>
  <w:endnote w:type="continuationSeparator" w:id="0">
    <w:p>
      <w:pPr>
        <w:pBdr>
          <w:top w:val="nil"/>
          <w:left w:val="nil"/>
          <w:bottom w:val="nil"/>
          <w:right w:val="nil"/>
          <w:between w:val="nil"/>
          <w:bar w:val="nil"/>
        </w:pBdr>
        <w:rPr>
          <w:rFonts w:eastAsia="Arial Unicode MS"/>
          <w:szCs w:val="24"/>
          <w:bdr w:val="nil"/>
          <w:lang w:val="en-US"/>
        </w:rPr>
      </w:pPr>
      <w:r>
        <w:rPr>
          <w:rFonts w:eastAsia="Arial Unicode MS"/>
          <w:szCs w:val="24"/>
          <w:bdr w:val="nil"/>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BA"/>
    <w:family w:val="swiss"/>
    <w:pitch w:val="variable"/>
    <w:sig w:usb0="E0002EFF" w:usb1="C000247B" w:usb2="00000009" w:usb3="00000000" w:csb0="000001FF" w:csb1="00000000"/>
  </w:font>
  <w:font w:name="Helvetica Neue">
    <w:altName w:val="Times New Roman"/>
    <w:charset w:val="00"/>
    <w:family w:val="roman"/>
    <w:pitch w:val="default"/>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pBdr>
          <w:top w:val="nil"/>
          <w:left w:val="nil"/>
          <w:bottom w:val="nil"/>
          <w:right w:val="nil"/>
          <w:between w:val="nil"/>
          <w:bar w:val="nil"/>
        </w:pBdr>
        <w:rPr>
          <w:rFonts w:eastAsia="Arial Unicode MS"/>
          <w:szCs w:val="24"/>
          <w:bdr w:val="nil"/>
          <w:lang w:val="en-US"/>
        </w:rPr>
      </w:pPr>
      <w:r>
        <w:rPr>
          <w:rFonts w:eastAsia="Arial Unicode MS"/>
          <w:szCs w:val="24"/>
          <w:bdr w:val="nil"/>
          <w:lang w:val="en-US"/>
        </w:rPr>
        <w:separator/>
      </w:r>
    </w:p>
  </w:footnote>
  <w:footnote w:type="continuationSeparator" w:id="0">
    <w:p>
      <w:pPr>
        <w:pBdr>
          <w:top w:val="nil"/>
          <w:left w:val="nil"/>
          <w:bottom w:val="nil"/>
          <w:right w:val="nil"/>
          <w:between w:val="nil"/>
          <w:bar w:val="nil"/>
        </w:pBdr>
        <w:rPr>
          <w:rFonts w:eastAsia="Arial Unicode MS"/>
          <w:szCs w:val="24"/>
          <w:bdr w:val="nil"/>
          <w:lang w:val="en-US"/>
        </w:rPr>
      </w:pPr>
      <w:r>
        <w:rPr>
          <w:rFonts w:eastAsia="Arial Unicode MS"/>
          <w:szCs w:val="24"/>
          <w:bdr w:val="nil"/>
          <w:lang w:val="en-US"/>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684F2-6254-410A-AD58-67690E0D7DB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0684061">
      <w:bodyDiv w:val="1"/>
      <w:marLeft w:val="0"/>
      <w:marRight w:val="0"/>
      <w:marTop w:val="0"/>
      <w:marBottom w:val="0"/>
      <w:divBdr>
        <w:top w:val="none" w:sz="0" w:space="0" w:color="auto"/>
        <w:left w:val="none" w:sz="0" w:space="0" w:color="auto"/>
        <w:bottom w:val="none" w:sz="0" w:space="0" w:color="auto"/>
        <w:right w:val="none" w:sz="0" w:space="0" w:color="auto"/>
      </w:divBdr>
    </w:div>
    <w:div w:id="844713344">
      <w:bodyDiv w:val="1"/>
      <w:marLeft w:val="0"/>
      <w:marRight w:val="0"/>
      <w:marTop w:val="0"/>
      <w:marBottom w:val="0"/>
      <w:divBdr>
        <w:top w:val="none" w:sz="0" w:space="0" w:color="auto"/>
        <w:left w:val="none" w:sz="0" w:space="0" w:color="auto"/>
        <w:bottom w:val="none" w:sz="0" w:space="0" w:color="auto"/>
        <w:right w:val="none" w:sz="0" w:space="0" w:color="auto"/>
      </w:divBdr>
    </w:div>
    <w:div w:id="1020089373">
      <w:bodyDiv w:val="1"/>
      <w:marLeft w:val="0"/>
      <w:marRight w:val="0"/>
      <w:marTop w:val="0"/>
      <w:marBottom w:val="0"/>
      <w:divBdr>
        <w:top w:val="none" w:sz="0" w:space="0" w:color="auto"/>
        <w:left w:val="none" w:sz="0" w:space="0" w:color="auto"/>
        <w:bottom w:val="none" w:sz="0" w:space="0" w:color="auto"/>
        <w:right w:val="none" w:sz="0" w:space="0" w:color="auto"/>
      </w:divBdr>
    </w:div>
    <w:div w:id="2114669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979</Words>
  <Characters>7494</Characters>
  <Application>Microsoft Office Word</Application>
  <DocSecurity>4</DocSecurity>
  <Lines>133</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8413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2022-05-09T10:53:00Z</dcterms:created>
  <dc:creator>JANKELIŪNIENĖ Vaida</dc:creator>
  <lastModifiedBy>adlibuser</lastModifiedBy>
  <lastPrinted>2022-05-09T08:33:00Z</lastPrinted>
  <dcterms:modified xsi:type="dcterms:W3CDTF">2022-05-09T10:53:00Z</dcterms:modified>
  <revision>2</revision>
</coreProperties>
</file>